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医用耗材市场调研资料需求清单</w:t>
      </w:r>
    </w:p>
    <w:tbl>
      <w:tblPr>
        <w:tblStyle w:val="4"/>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写完整资料，如无省标号等则写无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五家三甲医院</w:t>
            </w:r>
            <w:r>
              <w:rPr>
                <w:rFonts w:hint="eastAsia" w:ascii="微软雅黑" w:hAnsi="微软雅黑" w:eastAsia="微软雅黑" w:cs="微软雅黑"/>
                <w:b w:val="0"/>
                <w:i w:val="0"/>
                <w:caps w:val="0"/>
                <w:color w:val="31353B"/>
                <w:spacing w:val="0"/>
                <w:sz w:val="21"/>
                <w:szCs w:val="21"/>
                <w:lang w:val="en-US" w:eastAsia="zh-CN"/>
              </w:rPr>
              <w:t>的近半年的销售发票，且发票需要有发票开具公司的发票专用章，</w:t>
            </w:r>
            <w:bookmarkStart w:id="0" w:name="_GoBack"/>
            <w:bookmarkEnd w:id="0"/>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※以上18项资料均需供应商盖章，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w:t>
      </w:r>
      <w:r>
        <w:rPr>
          <w:rFonts w:hint="eastAsia" w:ascii="仿宋_GB2312" w:hAnsi="仿宋_GB2312" w:eastAsia="仿宋_GB2312" w:cs="仿宋_GB2312"/>
          <w:b/>
          <w:bCs/>
          <w:sz w:val="32"/>
          <w:szCs w:val="32"/>
          <w:highlight w:val="yellow"/>
          <w:lang w:val="en-US" w:eastAsia="zh-CN"/>
        </w:rPr>
        <w:t>合并为一份PDF文件</w:t>
      </w:r>
    </w:p>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r>
        <w:rPr>
          <w:rFonts w:hint="eastAsia" w:ascii="仿宋_GB2312" w:hAnsi="仿宋_GB2312" w:eastAsia="仿宋_GB2312" w:cs="仿宋_GB2312"/>
          <w:b w:val="0"/>
          <w:bCs w:val="0"/>
          <w:sz w:val="32"/>
          <w:szCs w:val="32"/>
          <w:lang w:val="en-US" w:eastAsia="zh-CN"/>
        </w:rPr>
        <w:t>资料扫描版发送至邮箱:hzyxgcb_scdy@126.com。</w:t>
      </w:r>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ZDUxMjM0OTRlYmY4YzJlZjFlNDAyNzc2NjljN2MifQ=="/>
  </w:docVars>
  <w:rsids>
    <w:rsidRoot w:val="00172A27"/>
    <w:rsid w:val="0A035F36"/>
    <w:rsid w:val="0AC81294"/>
    <w:rsid w:val="1206399C"/>
    <w:rsid w:val="13994780"/>
    <w:rsid w:val="1C8F5C2B"/>
    <w:rsid w:val="1F927BF8"/>
    <w:rsid w:val="1FFC015C"/>
    <w:rsid w:val="276C76E1"/>
    <w:rsid w:val="27BA3006"/>
    <w:rsid w:val="29E16951"/>
    <w:rsid w:val="2B037606"/>
    <w:rsid w:val="2D6C16A5"/>
    <w:rsid w:val="2E824CB2"/>
    <w:rsid w:val="30026A06"/>
    <w:rsid w:val="34D931B0"/>
    <w:rsid w:val="379E0C0A"/>
    <w:rsid w:val="391B28FA"/>
    <w:rsid w:val="3A2427C5"/>
    <w:rsid w:val="3B1157A3"/>
    <w:rsid w:val="3BA518CB"/>
    <w:rsid w:val="3BD87B8B"/>
    <w:rsid w:val="3C0E572D"/>
    <w:rsid w:val="3D1F5A67"/>
    <w:rsid w:val="3E711DCC"/>
    <w:rsid w:val="3F9A0F9B"/>
    <w:rsid w:val="431007D4"/>
    <w:rsid w:val="46EB0E3E"/>
    <w:rsid w:val="48263ECB"/>
    <w:rsid w:val="488A0765"/>
    <w:rsid w:val="4EC0671C"/>
    <w:rsid w:val="5BD26647"/>
    <w:rsid w:val="5EB629FA"/>
    <w:rsid w:val="63710CD3"/>
    <w:rsid w:val="64CC1512"/>
    <w:rsid w:val="657E291D"/>
    <w:rsid w:val="65A569E2"/>
    <w:rsid w:val="65C036C7"/>
    <w:rsid w:val="68B1437E"/>
    <w:rsid w:val="6C3F0A76"/>
    <w:rsid w:val="758E05A7"/>
    <w:rsid w:val="77AD6A4D"/>
    <w:rsid w:val="786D361C"/>
    <w:rsid w:val="7E39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Theme="majorHAnsi" w:hAnsiTheme="majorHAnsi" w:cstheme="majorBidi"/>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1195</Words>
  <Characters>1375</Characters>
  <Lines>0</Lines>
  <Paragraphs>0</Paragraphs>
  <TotalTime>2</TotalTime>
  <ScaleCrop>false</ScaleCrop>
  <LinksUpToDate>false</LinksUpToDate>
  <CharactersWithSpaces>1378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2020-05-11T10:09:00Z</dcterms:created>
  <dc:creator>hzzx</dc:creator>
  <cp:lastModifiedBy>小雅.鹤鸣</cp:lastModifiedBy>
  <dcterms:modified xsi:type="dcterms:W3CDTF">2022-10-10T07:28:56Z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SaveFontToCloudKey">
    <vt:lpwstr>298889057_btnclosed</vt:lpwstr>
  </property>
  <property fmtid="{D5CDD505-2E9C-101B-9397-08002B2CF9AE}" pid="4" name="ICV">
    <vt:lpwstr>A9297D96A34444CEB26FB5B42C6D0BDA</vt:lpwstr>
  </property>
</Properties>
</file>